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840 2013 133 vom 22. Februar 2013</w:t>
      </w:r>
    </w:p>
    <w:p>
      <w:r>
        <w:t>BL Gerichte, 2013-02-22, DE</w:t>
      </w:r>
    </w:p>
    <w:p>
      <w:r>
        <w:rPr>
          <w:b/>
        </w:rPr>
        <w:t xml:space="preserve">Quelle: </w:t>
      </w:r>
      <w:r>
        <w:t>https://mcp.opencaselaw.ch/entscheid/bl_gerichte_840 2013 133</w:t>
      </w:r>
    </w:p>
    <w:p>
      <w:r>
        <w:t>FR: BL_GERICHTE 840 2013 133 du 22 février 2013</w:t>
      </w:r>
    </w:p>
    <w:p>
      <w:r>
        <w:t>IT: BL_GERICHTE 840 2013 133 del 22 febbraio 2013</w:t>
      </w:r>
    </w:p>
    <w:p>
      <w:pPr>
        <w:pStyle w:val="Heading2"/>
      </w:pPr>
      <w:r>
        <w:t>Regeste</w:t>
      </w:r>
    </w:p>
    <w:p>
      <w:r>
        <w:t>Fürsorgerische Unterbringung; Verlängerung der Massnahme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teilweise gutgeheissen und die fürsorgerische Unterbringung von A. im Sinne der Erwägungen bis spätestens 30. Juni 2013 befristet.</w:t>
      </w:r>
    </w:p>
    <w:p>
      <w:r>
        <w:rPr>
          <w:b/>
        </w:rPr>
        <w:t>E. 2</w:t>
      </w:r>
    </w:p>
    <w:p>
      <w:r>
        <w:t>Es wird keine Gerichtsgebühr erhoben. Allfällige Kosten für ärztliche Berichte oder Gutachten gehen zulasten des Beschwerdeführers und werden separat verlegt.</w:t>
      </w:r>
    </w:p>
    <w:p>
      <w:r>
        <w:rPr>
          <w:b/>
        </w:rPr>
        <w:t>E. 3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